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C109" w14:textId="7FAF1450" w:rsidR="009051ED" w:rsidRPr="009051ED" w:rsidRDefault="009051ED" w:rsidP="00BB6A24">
      <w:pPr>
        <w:spacing w:after="0"/>
        <w:rPr>
          <w:b/>
          <w:bCs/>
          <w:sz w:val="40"/>
          <w:szCs w:val="40"/>
          <w:u w:val="single"/>
        </w:rPr>
      </w:pPr>
    </w:p>
    <w:p w14:paraId="193AF1AD" w14:textId="4E5F1E11" w:rsidR="00920B59" w:rsidRPr="00DE1B3D" w:rsidRDefault="00232A4E" w:rsidP="00232A4E">
      <w:pPr>
        <w:spacing w:after="0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DE1B3D">
        <w:rPr>
          <w:b/>
          <w:sz w:val="28"/>
          <w:szCs w:val="28"/>
        </w:rPr>
        <w:t>Anotace bakalářské práce</w:t>
      </w:r>
      <w:r w:rsidRPr="00DE1B3D">
        <w:rPr>
          <w:sz w:val="28"/>
          <w:szCs w:val="28"/>
        </w:rPr>
        <w:t xml:space="preserve"> </w:t>
      </w:r>
      <w:r w:rsidR="00920B59" w:rsidRPr="00DE1B3D">
        <w:rPr>
          <w:rFonts w:eastAsia="Times New Roman" w:cstheme="minorHAnsi"/>
          <w:b/>
          <w:sz w:val="28"/>
          <w:szCs w:val="28"/>
          <w:lang w:eastAsia="cs-CZ"/>
        </w:rPr>
        <w:t>Limity a problémy škol ve využití</w:t>
      </w:r>
      <w:r w:rsidRPr="00DE1B3D">
        <w:rPr>
          <w:rFonts w:eastAsia="Times New Roman" w:cstheme="minorHAnsi"/>
          <w:b/>
          <w:sz w:val="28"/>
          <w:szCs w:val="28"/>
          <w:lang w:eastAsia="cs-CZ"/>
        </w:rPr>
        <w:t xml:space="preserve"> science center jako prostředku </w:t>
      </w:r>
      <w:r w:rsidR="00920B59" w:rsidRPr="00DE1B3D">
        <w:rPr>
          <w:rFonts w:eastAsia="Times New Roman" w:cstheme="minorHAnsi"/>
          <w:b/>
          <w:sz w:val="28"/>
          <w:szCs w:val="28"/>
          <w:lang w:eastAsia="cs-CZ"/>
        </w:rPr>
        <w:t>neformálního vzdělávání</w:t>
      </w:r>
    </w:p>
    <w:p w14:paraId="32115A8D" w14:textId="77777777" w:rsidR="00232A4E" w:rsidRDefault="00232A4E" w:rsidP="00232A4E">
      <w:pPr>
        <w:spacing w:after="0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14:paraId="168C4E71" w14:textId="77777777" w:rsidR="002A25B1" w:rsidRDefault="002A25B1" w:rsidP="002A25B1">
      <w:pPr>
        <w:jc w:val="center"/>
        <w:rPr>
          <w:i/>
        </w:rPr>
      </w:pPr>
      <w:r>
        <w:rPr>
          <w:i/>
        </w:rPr>
        <w:t>Příklad inspirativního zdroje</w:t>
      </w:r>
    </w:p>
    <w:p w14:paraId="5D9C31C4" w14:textId="5348F887" w:rsidR="00BB6A24" w:rsidRDefault="00BB6A24" w:rsidP="003C1973">
      <w:pPr>
        <w:ind w:left="2124" w:hanging="2124"/>
      </w:pPr>
      <w:bookmarkStart w:id="0" w:name="_GoBack"/>
      <w:bookmarkEnd w:id="0"/>
      <w:r>
        <w:t>Témata/využitelnost:</w:t>
      </w:r>
      <w:r>
        <w:tab/>
      </w:r>
      <w:r w:rsidR="002262C8">
        <w:t>Science centrum, formální vzdělávání, neformální vzdělávání</w:t>
      </w:r>
      <w:r w:rsidR="00A27DAF">
        <w:t>, možnosti a překážky ve využití center, zaměření vzdělávacích programů.</w:t>
      </w:r>
    </w:p>
    <w:p w14:paraId="047B56E5" w14:textId="77777777" w:rsidR="00BB6A24" w:rsidRDefault="00BB6A24" w:rsidP="00BB6A24">
      <w:r>
        <w:t>Zdroj/přístup:</w:t>
      </w:r>
    </w:p>
    <w:p w14:paraId="7A9D9D38" w14:textId="77777777" w:rsidR="002262C8" w:rsidRDefault="00A833CE" w:rsidP="002262C8">
      <w:pPr>
        <w:shd w:val="clear" w:color="auto" w:fill="FFFFFF"/>
        <w:spacing w:before="100" w:beforeAutospacing="1" w:after="100" w:afterAutospacing="1"/>
        <w:outlineLvl w:val="4"/>
        <w:rPr>
          <w:rFonts w:cs="Arial"/>
          <w:color w:val="3A3A3A"/>
          <w:shd w:val="clear" w:color="auto" w:fill="FFFFFF"/>
        </w:rPr>
      </w:pPr>
      <w:r w:rsidRPr="00EE47B1">
        <w:rPr>
          <w:rFonts w:cs="Arial"/>
          <w:color w:val="3A3A3A"/>
          <w:shd w:val="clear" w:color="auto" w:fill="FFFFFF"/>
        </w:rPr>
        <w:t>Opluštilová, Kateřina.</w:t>
      </w:r>
      <w:r w:rsidRPr="00EE47B1">
        <w:t xml:space="preserve"> </w:t>
      </w:r>
      <w:r w:rsidRPr="00A833CE">
        <w:rPr>
          <w:rFonts w:cs="Arial"/>
          <w:i/>
          <w:iCs/>
          <w:color w:val="3A3A3A"/>
          <w:shd w:val="clear" w:color="auto" w:fill="FFFFFF"/>
        </w:rPr>
        <w:t>Limity a problémy škol ve využití science center jako prostředku neformálního vzdělávání.</w:t>
      </w:r>
      <w:r w:rsidRPr="00EE47B1">
        <w:rPr>
          <w:rFonts w:cs="Arial"/>
          <w:color w:val="3A3A3A"/>
          <w:shd w:val="clear" w:color="auto" w:fill="FFFFFF"/>
        </w:rPr>
        <w:t xml:space="preserve"> Brno, 2018. bakalářská práce (Bc.).</w:t>
      </w:r>
      <w:r>
        <w:rPr>
          <w:rFonts w:cs="Arial"/>
          <w:color w:val="3A3A3A"/>
          <w:shd w:val="clear" w:color="auto" w:fill="FFFFFF"/>
        </w:rPr>
        <w:t xml:space="preserve"> </w:t>
      </w:r>
      <w:r w:rsidRPr="00EE47B1">
        <w:rPr>
          <w:rFonts w:cs="Arial"/>
          <w:color w:val="3A3A3A"/>
          <w:shd w:val="clear" w:color="auto" w:fill="FFFFFF"/>
        </w:rPr>
        <w:t>MASARYKOVA UNIVERZITA V BRNĚ. Fakulta pedagogická, katedra sociální pedagogiky</w:t>
      </w:r>
    </w:p>
    <w:p w14:paraId="16B7622A" w14:textId="0F563E38" w:rsidR="00A833CE" w:rsidRDefault="002D5F02" w:rsidP="002262C8">
      <w:pPr>
        <w:shd w:val="clear" w:color="auto" w:fill="FFFFFF"/>
        <w:spacing w:before="100" w:beforeAutospacing="1" w:after="100" w:afterAutospacing="1"/>
        <w:outlineLvl w:val="4"/>
      </w:pPr>
      <w:hyperlink r:id="rId10" w:history="1">
        <w:r w:rsidR="00A833CE" w:rsidRPr="00FA4FE9">
          <w:rPr>
            <w:rStyle w:val="Hypertextovodkaz"/>
          </w:rPr>
          <w:t>https://is.muni.cz/auth/th/wpfhl/Oplustilova_BP.pdf</w:t>
        </w:r>
      </w:hyperlink>
    </w:p>
    <w:p w14:paraId="0D944F6C" w14:textId="362FB7F5" w:rsidR="00BB6A24" w:rsidRDefault="00BB6A24" w:rsidP="00BB6A24">
      <w:pPr>
        <w:spacing w:after="0"/>
        <w:jc w:val="both"/>
      </w:pPr>
    </w:p>
    <w:p w14:paraId="4C2E15A0" w14:textId="4E50D1FA" w:rsidR="00BB6A24" w:rsidRDefault="00BB6A24" w:rsidP="00BB6A24">
      <w:pPr>
        <w:spacing w:after="0"/>
        <w:jc w:val="both"/>
      </w:pPr>
      <w:r>
        <w:t>Anotace:</w:t>
      </w:r>
      <w:r>
        <w:tab/>
      </w:r>
      <w:r>
        <w:tab/>
      </w:r>
    </w:p>
    <w:p w14:paraId="1F008AC5" w14:textId="3D53D029" w:rsidR="00BB6A24" w:rsidRDefault="00BB6A24" w:rsidP="00BB6A24">
      <w:pPr>
        <w:spacing w:after="0"/>
        <w:jc w:val="both"/>
      </w:pPr>
    </w:p>
    <w:p w14:paraId="47AD9FE2" w14:textId="7A91320E" w:rsidR="00436BF0" w:rsidRPr="00436BF0" w:rsidRDefault="00A833CE" w:rsidP="00436BF0">
      <w:pPr>
        <w:jc w:val="both"/>
        <w:outlineLvl w:val="0"/>
        <w:rPr>
          <w:rFonts w:cs="Arial"/>
          <w:b/>
        </w:rPr>
      </w:pPr>
      <w:r w:rsidRPr="00436BF0">
        <w:rPr>
          <w:rFonts w:cs="Arial"/>
          <w:b/>
        </w:rPr>
        <w:t xml:space="preserve">Bakalářská práce se zabývá spoluprací mezi školou a science centrem jako místem pro praktickou výuku. Jejím hlavním cílem je najít překážky, které učitelům brání více využít vzdělávací potenciál, který čas strávený v science centru žákům nabízí.  Teoretická část je zaměřena na představení science center jako institucí určených ke vzdělávání a dále se věnuje rozdílům mezi formálním a neformálním vzděláváním a vzdělávacím metodám činné školy tak, jak je zformuloval John </w:t>
      </w:r>
      <w:proofErr w:type="spellStart"/>
      <w:r w:rsidRPr="00436BF0">
        <w:rPr>
          <w:rFonts w:cs="Arial"/>
          <w:b/>
        </w:rPr>
        <w:t>Dewey</w:t>
      </w:r>
      <w:proofErr w:type="spellEnd"/>
      <w:r w:rsidRPr="00436BF0">
        <w:rPr>
          <w:rFonts w:cs="Arial"/>
          <w:b/>
        </w:rPr>
        <w:t>. Praktická část pak shrnuje a představuje výsledky provedeného dotazníkového šetření mezi pedagogy, doplněného o techniku kvalitativního šetření formou několika rozhovorů.</w:t>
      </w:r>
    </w:p>
    <w:p w14:paraId="634341DD" w14:textId="4CE3512A" w:rsidR="00A833CE" w:rsidRPr="00436BF0" w:rsidRDefault="00A833CE" w:rsidP="00436BF0">
      <w:pPr>
        <w:jc w:val="both"/>
        <w:outlineLvl w:val="0"/>
        <w:rPr>
          <w:rFonts w:cs="Arial"/>
        </w:rPr>
      </w:pPr>
      <w:r>
        <w:rPr>
          <w:rFonts w:eastAsia="Times New Roman" w:cs="Arial"/>
          <w:lang w:eastAsia="cs-CZ"/>
        </w:rPr>
        <w:t>K</w:t>
      </w:r>
      <w:r w:rsidRPr="005D4774">
        <w:rPr>
          <w:rFonts w:eastAsia="Times New Roman" w:cs="Arial"/>
          <w:lang w:eastAsia="cs-CZ"/>
        </w:rPr>
        <w:t xml:space="preserve">apacita science center </w:t>
      </w:r>
      <w:r>
        <w:rPr>
          <w:rFonts w:eastAsia="Times New Roman" w:cs="Arial"/>
          <w:lang w:eastAsia="cs-CZ"/>
        </w:rPr>
        <w:t xml:space="preserve">se </w:t>
      </w:r>
      <w:r w:rsidRPr="005D4774">
        <w:rPr>
          <w:rFonts w:eastAsia="Times New Roman" w:cs="Arial"/>
          <w:lang w:eastAsia="cs-CZ"/>
        </w:rPr>
        <w:t xml:space="preserve">využívá </w:t>
      </w:r>
      <w:r>
        <w:rPr>
          <w:rFonts w:eastAsia="Times New Roman" w:cs="Arial"/>
          <w:lang w:eastAsia="cs-CZ"/>
        </w:rPr>
        <w:t xml:space="preserve">dle zjištění autorky méně než z 50%, proto se v rámci práce </w:t>
      </w:r>
      <w:r w:rsidRPr="005D4774">
        <w:rPr>
          <w:rFonts w:eastAsia="Times New Roman" w:cs="Arial"/>
          <w:lang w:eastAsia="cs-CZ"/>
        </w:rPr>
        <w:t xml:space="preserve">změřila na </w:t>
      </w:r>
      <w:r w:rsidRPr="00B6102C">
        <w:rPr>
          <w:rFonts w:eastAsia="Times New Roman" w:cs="Arial"/>
          <w:b/>
          <w:lang w:eastAsia="cs-CZ"/>
        </w:rPr>
        <w:t>možnosti překonávání překážek vzájemné spolupráce, na identifikování problémů, které brání větší míře spolupráce, a tak potažmo propojování formálního a neformálního vzdělávání</w:t>
      </w:r>
      <w:r>
        <w:rPr>
          <w:rFonts w:eastAsia="Times New Roman" w:cs="Arial"/>
          <w:lang w:eastAsia="cs-CZ"/>
        </w:rPr>
        <w:t xml:space="preserve"> s využitím v tomto případě zcela nadstandardních technologických a materiálních možností science center. Vida! </w:t>
      </w:r>
      <w:proofErr w:type="spellStart"/>
      <w:r>
        <w:rPr>
          <w:rFonts w:eastAsia="Times New Roman" w:cs="Arial"/>
          <w:lang w:eastAsia="cs-CZ"/>
        </w:rPr>
        <w:t>Scince</w:t>
      </w:r>
      <w:proofErr w:type="spellEnd"/>
      <w:r>
        <w:rPr>
          <w:rFonts w:eastAsia="Times New Roman" w:cs="Arial"/>
          <w:lang w:eastAsia="cs-CZ"/>
        </w:rPr>
        <w:t xml:space="preserve"> centrum je přitom členem České asociace science center, která vznikla v roce 2013 </w:t>
      </w:r>
      <w:r w:rsidRPr="00B6102C">
        <w:rPr>
          <w:rFonts w:eastAsia="Times New Roman" w:cs="Arial"/>
          <w:lang w:eastAsia="cs-CZ"/>
        </w:rPr>
        <w:t xml:space="preserve">za účelem vzájemné spolupráce a jednotného postupu v dílčích otázkách. Jejími členy jsou </w:t>
      </w:r>
      <w:proofErr w:type="spellStart"/>
      <w:r w:rsidRPr="00B6102C">
        <w:rPr>
          <w:rFonts w:eastAsia="Times New Roman" w:cs="Arial"/>
          <w:lang w:eastAsia="cs-CZ"/>
        </w:rPr>
        <w:t>Techmania</w:t>
      </w:r>
      <w:proofErr w:type="spellEnd"/>
      <w:r w:rsidRPr="00B6102C">
        <w:rPr>
          <w:rFonts w:eastAsia="Times New Roman" w:cs="Arial"/>
          <w:lang w:eastAsia="cs-CZ"/>
        </w:rPr>
        <w:t xml:space="preserve"> Science center, </w:t>
      </w:r>
      <w:proofErr w:type="spellStart"/>
      <w:r w:rsidRPr="00B6102C">
        <w:rPr>
          <w:rFonts w:eastAsia="Times New Roman" w:cs="Arial"/>
          <w:lang w:eastAsia="cs-CZ"/>
        </w:rPr>
        <w:t>iQLANDIA</w:t>
      </w:r>
      <w:proofErr w:type="spellEnd"/>
      <w:r w:rsidRPr="00B6102C">
        <w:rPr>
          <w:rFonts w:eastAsia="Times New Roman" w:cs="Arial"/>
          <w:lang w:eastAsia="cs-CZ"/>
        </w:rPr>
        <w:t xml:space="preserve">, VIDA! </w:t>
      </w:r>
      <w:proofErr w:type="gramStart"/>
      <w:r w:rsidRPr="00B6102C">
        <w:rPr>
          <w:rFonts w:eastAsia="Times New Roman" w:cs="Arial"/>
          <w:lang w:eastAsia="cs-CZ"/>
        </w:rPr>
        <w:t>s</w:t>
      </w:r>
      <w:r>
        <w:rPr>
          <w:rFonts w:eastAsia="Times New Roman" w:cs="Arial"/>
          <w:lang w:eastAsia="cs-CZ"/>
        </w:rPr>
        <w:t>cience</w:t>
      </w:r>
      <w:proofErr w:type="gramEnd"/>
      <w:r>
        <w:rPr>
          <w:rFonts w:eastAsia="Times New Roman" w:cs="Arial"/>
          <w:lang w:eastAsia="cs-CZ"/>
        </w:rPr>
        <w:t xml:space="preserve"> centrum, Svět techniky, </w:t>
      </w:r>
      <w:r w:rsidRPr="00B6102C">
        <w:rPr>
          <w:rFonts w:eastAsia="Times New Roman" w:cs="Arial"/>
          <w:lang w:eastAsia="cs-CZ"/>
        </w:rPr>
        <w:t>Pevnost poznání, Hvězdárna a planetárium Brno a Hvězdárna a planetárium v Hradci Králové.</w:t>
      </w:r>
    </w:p>
    <w:p w14:paraId="1118FE1D" w14:textId="31FA29A9" w:rsidR="00436BF0" w:rsidRDefault="00A833CE" w:rsidP="00A833CE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teoretické části autorka </w:t>
      </w:r>
      <w:r w:rsidR="002262C8">
        <w:rPr>
          <w:rFonts w:eastAsia="Times New Roman" w:cs="Arial"/>
          <w:lang w:eastAsia="cs-CZ"/>
        </w:rPr>
        <w:t>po</w:t>
      </w:r>
      <w:r>
        <w:rPr>
          <w:rFonts w:eastAsia="Times New Roman" w:cs="Arial"/>
          <w:lang w:eastAsia="cs-CZ"/>
        </w:rPr>
        <w:t xml:space="preserve">jmově ukotvuje </w:t>
      </w:r>
      <w:r w:rsidR="00436BF0">
        <w:rPr>
          <w:rFonts w:eastAsia="Times New Roman" w:cs="Arial"/>
          <w:b/>
          <w:lang w:eastAsia="cs-CZ"/>
        </w:rPr>
        <w:t>termíny f</w:t>
      </w:r>
      <w:r w:rsidRPr="00B6102C">
        <w:rPr>
          <w:rFonts w:eastAsia="Times New Roman" w:cs="Arial"/>
          <w:b/>
          <w:lang w:eastAsia="cs-CZ"/>
        </w:rPr>
        <w:t>ormální, neformální a informální</w:t>
      </w:r>
      <w:r>
        <w:rPr>
          <w:rFonts w:eastAsia="Times New Roman" w:cs="Arial"/>
          <w:lang w:eastAsia="cs-CZ"/>
        </w:rPr>
        <w:t xml:space="preserve"> vzdělávání, tak jak je definuje </w:t>
      </w:r>
      <w:r w:rsidRPr="00436BF0">
        <w:rPr>
          <w:rFonts w:eastAsia="Times New Roman" w:cs="Arial"/>
          <w:i/>
          <w:lang w:eastAsia="cs-CZ"/>
        </w:rPr>
        <w:t>Strategie vzdělávací politiky 2020</w:t>
      </w:r>
      <w:r>
        <w:rPr>
          <w:rFonts w:eastAsia="Times New Roman" w:cs="Arial"/>
          <w:lang w:eastAsia="cs-CZ"/>
        </w:rPr>
        <w:t>. S odkazem na literaturu definuje specifičnost formálního a neformálního vzdělávání z pohledu na obsah i formu:</w:t>
      </w:r>
      <w:r w:rsidR="00436BF0">
        <w:rPr>
          <w:rFonts w:eastAsia="Times New Roman" w:cs="Arial"/>
          <w:lang w:eastAsia="cs-CZ"/>
        </w:rPr>
        <w:t xml:space="preserve"> </w:t>
      </w:r>
    </w:p>
    <w:p w14:paraId="1F99FFFE" w14:textId="77777777" w:rsidR="00436BF0" w:rsidRDefault="00A833CE" w:rsidP="00A833CE">
      <w:pPr>
        <w:spacing w:after="0"/>
        <w:jc w:val="both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„</w:t>
      </w:r>
      <w:r w:rsidRPr="00196CB6">
        <w:rPr>
          <w:rFonts w:eastAsia="Times New Roman" w:cs="Arial"/>
          <w:i/>
          <w:lang w:eastAsia="cs-CZ"/>
        </w:rPr>
        <w:t xml:space="preserve">Ve formálním vzdělávání se klade příliš velký důraz na kvantitu předaných znalostí, zatímco chápání souvislostí, kritické myšlení a prostor pro samostatné myšlení je spíše upozaděno. </w:t>
      </w:r>
    </w:p>
    <w:p w14:paraId="1B7A5459" w14:textId="70664CB7" w:rsidR="00A833CE" w:rsidRPr="00196CB6" w:rsidRDefault="00A833CE" w:rsidP="00A833CE">
      <w:pPr>
        <w:spacing w:after="0"/>
        <w:jc w:val="both"/>
        <w:rPr>
          <w:rFonts w:eastAsia="Times New Roman" w:cs="Arial"/>
          <w:i/>
          <w:lang w:eastAsia="cs-CZ"/>
        </w:rPr>
      </w:pPr>
      <w:r w:rsidRPr="00196CB6">
        <w:rPr>
          <w:rFonts w:eastAsia="Times New Roman" w:cs="Arial"/>
          <w:i/>
          <w:lang w:eastAsia="cs-CZ"/>
        </w:rPr>
        <w:t xml:space="preserve">„Vyučování je vedeno převážně monologickou frontální metodou z pozice pedagoga. Vyučovací metoda má svoji pevnou časovou strukturu. Pedagog používá převážně monologické frontální výukové metody jako je výklad, přednášení a popis. … Frontální výuka se vyznačuje společnou prací studentů ve třídě s dominantním postavením pedagoga, který řídí, usměrňuje a kontroluje veškeré aktivity studentů. Výuka se orientuje převážně na kognitivní procesy.“  (Kotrba &amp; Lacina, 2011) </w:t>
      </w:r>
    </w:p>
    <w:p w14:paraId="3F028F75" w14:textId="77777777" w:rsidR="00A833CE" w:rsidRPr="00196CB6" w:rsidRDefault="00A833CE" w:rsidP="00A833CE">
      <w:pPr>
        <w:spacing w:after="0"/>
        <w:jc w:val="both"/>
        <w:rPr>
          <w:rFonts w:eastAsia="Times New Roman" w:cs="Arial"/>
          <w:i/>
          <w:lang w:eastAsia="cs-CZ"/>
        </w:rPr>
      </w:pPr>
      <w:r w:rsidRPr="00196CB6">
        <w:rPr>
          <w:rFonts w:eastAsia="Times New Roman" w:cs="Arial"/>
          <w:i/>
          <w:lang w:eastAsia="cs-CZ"/>
        </w:rPr>
        <w:lastRenderedPageBreak/>
        <w:t xml:space="preserve">Naopak neformální vzdělávání je vnímáno spíše jako zábava, která dokáže zpestřit vzdělávací proces, ale vzhledem k omezenému času se nemůže věnovat jednotlivým oborům do hloubky.  </w:t>
      </w:r>
    </w:p>
    <w:p w14:paraId="60464D06" w14:textId="651D09FD" w:rsidR="00A833CE" w:rsidRPr="00196CB6" w:rsidRDefault="00A833CE" w:rsidP="00A833CE">
      <w:pPr>
        <w:spacing w:after="0"/>
        <w:jc w:val="both"/>
        <w:rPr>
          <w:rFonts w:eastAsia="Times New Roman" w:cs="Arial"/>
          <w:i/>
          <w:lang w:eastAsia="cs-CZ"/>
        </w:rPr>
      </w:pPr>
      <w:r w:rsidRPr="00196CB6">
        <w:rPr>
          <w:rFonts w:eastAsia="Times New Roman" w:cs="Arial"/>
          <w:i/>
          <w:lang w:eastAsia="cs-CZ"/>
        </w:rPr>
        <w:t xml:space="preserve">„Ve výchově mimo vyučování získávají žáci poznatky a zkušenosti v bezprostřední praktické činnosti. Teprve pak na základě těchto osobních zkušeností ve spojení s poznatky získanými při vyučování vytvářejí nové poznání a nové zkušenosti. Jde tedy na jedné straně o proces osvojování si teorie v konfrontaci s praxí na druhé straně o proces osvojování si osobních zkušeností z praxe s následnou konfrontací s obecnými poznatky teorie.“  (Pávková &amp; kol., 2002) Výsledkem formálního vzdělávání je pak malá motivace a nezájem dětí při klasické výuce, přírodovědně technické obory jsou zde vnímány jako příliš komplikované a složité.  </w:t>
      </w:r>
      <w:r>
        <w:rPr>
          <w:rFonts w:eastAsia="Times New Roman" w:cs="Arial"/>
          <w:i/>
          <w:lang w:eastAsia="cs-CZ"/>
        </w:rPr>
        <w:t>(s.</w:t>
      </w:r>
      <w:r w:rsidR="00436BF0">
        <w:rPr>
          <w:rFonts w:eastAsia="Times New Roman" w:cs="Arial"/>
          <w:i/>
          <w:lang w:eastAsia="cs-CZ"/>
        </w:rPr>
        <w:t xml:space="preserve"> </w:t>
      </w:r>
      <w:r>
        <w:rPr>
          <w:rFonts w:eastAsia="Times New Roman" w:cs="Arial"/>
          <w:i/>
          <w:lang w:eastAsia="cs-CZ"/>
        </w:rPr>
        <w:t>10)</w:t>
      </w:r>
    </w:p>
    <w:p w14:paraId="3E6447B6" w14:textId="77777777" w:rsidR="00436BF0" w:rsidRDefault="00436BF0" w:rsidP="00A833CE">
      <w:pPr>
        <w:spacing w:after="0"/>
        <w:jc w:val="both"/>
        <w:rPr>
          <w:rFonts w:eastAsia="Times New Roman" w:cs="Arial"/>
          <w:lang w:eastAsia="cs-CZ"/>
        </w:rPr>
      </w:pPr>
    </w:p>
    <w:p w14:paraId="0405D100" w14:textId="696EE2BA" w:rsidR="00A833CE" w:rsidRDefault="002262C8" w:rsidP="00A833CE">
      <w:pPr>
        <w:spacing w:after="0"/>
        <w:jc w:val="both"/>
        <w:rPr>
          <w:rFonts w:eastAsia="Times New Roman" w:cs="Arial"/>
          <w:i/>
          <w:lang w:eastAsia="cs-CZ"/>
        </w:rPr>
      </w:pPr>
      <w:r w:rsidRPr="002262C8">
        <w:rPr>
          <w:rFonts w:eastAsia="Times New Roman" w:cs="Arial"/>
          <w:lang w:eastAsia="cs-CZ"/>
        </w:rPr>
        <w:t xml:space="preserve">Motivaci </w:t>
      </w:r>
      <w:r w:rsidR="00A833CE" w:rsidRPr="002262C8">
        <w:rPr>
          <w:rFonts w:eastAsia="Times New Roman" w:cs="Arial"/>
          <w:lang w:eastAsia="cs-CZ"/>
        </w:rPr>
        <w:t>žáků pro přírodovědní vzdělávání</w:t>
      </w:r>
      <w:r w:rsidR="00A833CE">
        <w:rPr>
          <w:rFonts w:eastAsia="Times New Roman" w:cs="Arial"/>
          <w:lang w:eastAsia="cs-CZ"/>
        </w:rPr>
        <w:t>, jejich zapálení pro bádání a přicházení věcem na kloub vnímá autorka jako stěžejní pro science centra. „</w:t>
      </w:r>
      <w:r w:rsidR="00A833CE" w:rsidRPr="00196CB6">
        <w:rPr>
          <w:rFonts w:eastAsia="Times New Roman" w:cs="Arial"/>
          <w:i/>
          <w:lang w:eastAsia="cs-CZ"/>
        </w:rPr>
        <w:t>V současné chvíli v rámci vzdělávacích programů se lektoři science centra snaží vzbudit zájem a nadšení u žáků a studentů zejména pro přírodovědné obory. Kladou důraz na vlastní aktivitu žáka, připravují pro ně „</w:t>
      </w:r>
      <w:proofErr w:type="spellStart"/>
      <w:r w:rsidR="00A833CE" w:rsidRPr="00196CB6">
        <w:rPr>
          <w:rFonts w:eastAsia="Times New Roman" w:cs="Arial"/>
          <w:i/>
          <w:lang w:eastAsia="cs-CZ"/>
        </w:rPr>
        <w:t>Hands</w:t>
      </w:r>
      <w:proofErr w:type="spellEnd"/>
      <w:r w:rsidR="00A833CE" w:rsidRPr="00196CB6">
        <w:rPr>
          <w:rFonts w:eastAsia="Times New Roman" w:cs="Arial"/>
          <w:i/>
          <w:lang w:eastAsia="cs-CZ"/>
        </w:rPr>
        <w:t xml:space="preserve"> on aktivity“ a rozvíjí jejich manuální zručnost. Důležitou součástí programů je vstupní motivace pro téma a navazování na znalostní úroveň žáků. Programy většinou vycházejí z principů prožitkové pedagogiky a je zde kladen velký akcent na vlastní zkušenost. Informace jsou předány skrze hry, aktivity, vlastní výrobu nebo řešení předestřených otázek. Žáci mají prostor pro vlastní zkoumání či pozorování a jsou podporováni ve formulacích toho, co zjistili. V programech jsou zařazovány činnosti, které nejsou ve školním prostředí běžně realizovatelné. Důležitou roli hraje závěrečné shrnutí a vlastní reflexe za aktivní účasti žáka. Autoři programů se snaží o propojování znalostí napříč školnímu předměty, práci s celým kolektivem a o přístup „</w:t>
      </w:r>
      <w:proofErr w:type="spellStart"/>
      <w:r w:rsidR="00A833CE" w:rsidRPr="00196CB6">
        <w:rPr>
          <w:rFonts w:eastAsia="Times New Roman" w:cs="Arial"/>
          <w:i/>
          <w:lang w:eastAsia="cs-CZ"/>
        </w:rPr>
        <w:t>win-win</w:t>
      </w:r>
      <w:proofErr w:type="spellEnd"/>
      <w:r w:rsidR="00A833CE" w:rsidRPr="00196CB6">
        <w:rPr>
          <w:rFonts w:eastAsia="Times New Roman" w:cs="Arial"/>
          <w:i/>
          <w:lang w:eastAsia="cs-CZ"/>
        </w:rPr>
        <w:t>“, kdy všichni (lektoři i žáci) odchází materiálně nebo duševně obohaceni.</w:t>
      </w:r>
      <w:r w:rsidR="00A833CE">
        <w:rPr>
          <w:rFonts w:eastAsia="Times New Roman" w:cs="Arial"/>
          <w:i/>
          <w:lang w:eastAsia="cs-CZ"/>
        </w:rPr>
        <w:t>“ (s.</w:t>
      </w:r>
      <w:r w:rsidR="00436BF0">
        <w:rPr>
          <w:rFonts w:eastAsia="Times New Roman" w:cs="Arial"/>
          <w:i/>
          <w:lang w:eastAsia="cs-CZ"/>
        </w:rPr>
        <w:t xml:space="preserve"> </w:t>
      </w:r>
      <w:r w:rsidR="00A833CE">
        <w:rPr>
          <w:rFonts w:eastAsia="Times New Roman" w:cs="Arial"/>
          <w:i/>
          <w:lang w:eastAsia="cs-CZ"/>
        </w:rPr>
        <w:t>11)</w:t>
      </w:r>
    </w:p>
    <w:p w14:paraId="5DFCF892" w14:textId="77777777" w:rsidR="00436BF0" w:rsidRPr="00196CB6" w:rsidRDefault="00436BF0" w:rsidP="00A833CE">
      <w:pPr>
        <w:spacing w:after="0"/>
        <w:jc w:val="both"/>
        <w:rPr>
          <w:rFonts w:eastAsia="Times New Roman" w:cs="Arial"/>
          <w:lang w:eastAsia="cs-CZ"/>
        </w:rPr>
      </w:pPr>
    </w:p>
    <w:p w14:paraId="3FE6D70C" w14:textId="77777777" w:rsidR="00436BF0" w:rsidRDefault="00A833CE" w:rsidP="00436BF0">
      <w:pPr>
        <w:spacing w:after="0"/>
        <w:jc w:val="both"/>
        <w:rPr>
          <w:rFonts w:eastAsia="Times New Roman" w:cs="Arial"/>
          <w:iCs/>
          <w:lang w:eastAsia="cs-CZ"/>
        </w:rPr>
      </w:pPr>
      <w:r>
        <w:rPr>
          <w:rFonts w:eastAsia="Times New Roman" w:cs="Arial"/>
          <w:lang w:eastAsia="cs-CZ"/>
        </w:rPr>
        <w:t xml:space="preserve">Autorka proto v rámci práce hledá odpověď na otázku, kde hledat příčinu nedostatečné využití kapacitních možností </w:t>
      </w:r>
      <w:r w:rsidR="002262C8">
        <w:rPr>
          <w:rFonts w:eastAsia="Times New Roman" w:cs="Arial"/>
          <w:lang w:eastAsia="cs-CZ"/>
        </w:rPr>
        <w:t xml:space="preserve">Science </w:t>
      </w:r>
      <w:r>
        <w:rPr>
          <w:rFonts w:eastAsia="Times New Roman" w:cs="Arial"/>
          <w:lang w:eastAsia="cs-CZ"/>
        </w:rPr>
        <w:t>centra</w:t>
      </w:r>
      <w:r w:rsidR="002262C8">
        <w:rPr>
          <w:rFonts w:eastAsia="Times New Roman" w:cs="Arial"/>
          <w:lang w:eastAsia="cs-CZ"/>
        </w:rPr>
        <w:t xml:space="preserve"> VIDA!</w:t>
      </w:r>
      <w:r>
        <w:rPr>
          <w:rFonts w:eastAsia="Times New Roman" w:cs="Arial"/>
          <w:lang w:eastAsia="cs-CZ"/>
        </w:rPr>
        <w:t xml:space="preserve">. </w:t>
      </w:r>
      <w:r w:rsidR="002262C8" w:rsidRPr="002262C8">
        <w:rPr>
          <w:rFonts w:eastAsia="Times New Roman" w:cs="Arial"/>
          <w:iCs/>
          <w:lang w:eastAsia="cs-CZ"/>
        </w:rPr>
        <w:t>Analýzou rozhovorů došla autorka práce k těmto zjištěním:</w:t>
      </w:r>
    </w:p>
    <w:p w14:paraId="1D7D7948" w14:textId="77777777" w:rsidR="00436BF0" w:rsidRDefault="00436BF0" w:rsidP="00436BF0">
      <w:pPr>
        <w:spacing w:after="0"/>
        <w:jc w:val="both"/>
        <w:rPr>
          <w:rFonts w:eastAsia="Times New Roman" w:cs="Arial"/>
          <w:iCs/>
          <w:lang w:eastAsia="cs-CZ"/>
        </w:rPr>
      </w:pPr>
    </w:p>
    <w:p w14:paraId="1AA174BB" w14:textId="71A2740E" w:rsidR="00A833CE" w:rsidRDefault="002262C8" w:rsidP="00436BF0">
      <w:pPr>
        <w:spacing w:after="0"/>
        <w:jc w:val="both"/>
        <w:rPr>
          <w:rFonts w:eastAsia="Times New Roman" w:cs="Arial"/>
          <w:i/>
          <w:lang w:eastAsia="cs-CZ"/>
        </w:rPr>
      </w:pPr>
      <w:r>
        <w:rPr>
          <w:rFonts w:eastAsia="Times New Roman" w:cs="Arial"/>
          <w:i/>
          <w:lang w:eastAsia="cs-CZ"/>
        </w:rPr>
        <w:t>„</w:t>
      </w:r>
      <w:r w:rsidR="00A833CE" w:rsidRPr="00885B7D">
        <w:rPr>
          <w:rFonts w:eastAsia="Times New Roman" w:cs="Arial"/>
          <w:i/>
          <w:lang w:eastAsia="cs-CZ"/>
        </w:rPr>
        <w:t xml:space="preserve">Jako </w:t>
      </w:r>
      <w:r w:rsidR="00A833CE" w:rsidRPr="00885B7D">
        <w:rPr>
          <w:rFonts w:eastAsia="Times New Roman" w:cs="Arial"/>
          <w:b/>
          <w:i/>
          <w:lang w:eastAsia="cs-CZ"/>
        </w:rPr>
        <w:t>systémové problémy</w:t>
      </w:r>
      <w:r w:rsidR="00A833CE" w:rsidRPr="00885B7D">
        <w:rPr>
          <w:rFonts w:eastAsia="Times New Roman" w:cs="Arial"/>
          <w:i/>
          <w:lang w:eastAsia="cs-CZ"/>
        </w:rPr>
        <w:t xml:space="preserve"> lze označit překážky, které je možné částečně řešit na úrovni školy či science centra. Sem lze zařadit problémy s nedostatkem času pro výuku mimo školu, problematiku suplování a nahrazování hodin, které vyučující stráví se třídou mimo science centrum. Do této kategorie byla zařazena otázka času potřebného na přípravu na výuku a dále i jejich možnosti dále se vzdělávat nejen odborně, ale i pedagogicky v rámci pracovní doby. Také sem řadíme problém s finanční zátěží rodin při návštěvě science centra. </w:t>
      </w:r>
    </w:p>
    <w:p w14:paraId="3F07F696" w14:textId="5D1A0411" w:rsidR="00A833CE" w:rsidRDefault="00A833CE" w:rsidP="00436BF0">
      <w:pPr>
        <w:spacing w:after="0"/>
        <w:jc w:val="both"/>
        <w:rPr>
          <w:rFonts w:eastAsia="Times New Roman" w:cs="Arial"/>
          <w:i/>
          <w:lang w:eastAsia="cs-CZ"/>
        </w:rPr>
      </w:pPr>
      <w:r w:rsidRPr="00885B7D">
        <w:rPr>
          <w:rFonts w:eastAsia="Times New Roman" w:cs="Arial"/>
          <w:i/>
          <w:lang w:eastAsia="cs-CZ"/>
        </w:rPr>
        <w:t xml:space="preserve">Mezi </w:t>
      </w:r>
      <w:r w:rsidRPr="00885B7D">
        <w:rPr>
          <w:rFonts w:eastAsia="Times New Roman" w:cs="Arial"/>
          <w:b/>
          <w:i/>
          <w:lang w:eastAsia="cs-CZ"/>
        </w:rPr>
        <w:t>technické problémy</w:t>
      </w:r>
      <w:r w:rsidRPr="00885B7D">
        <w:rPr>
          <w:rFonts w:eastAsia="Times New Roman" w:cs="Arial"/>
          <w:i/>
          <w:lang w:eastAsia="cs-CZ"/>
        </w:rPr>
        <w:t xml:space="preserve"> patří především obtíže spojené se samotnou cestou do science centra – například doprava a nutnost vrátit se s žáky včas na oběd či problém s materiálně-technickým vybavením školy. Tyto problémy je možné částečně řešit na úrovni školy, stejně tak se na jejich řešení může částečně podílet i science centrum. Stále u nich však platí, že je možné je řešit i systémově z úrovně MŠMT a místních samospráv například finanční podporou výuky v science </w:t>
      </w:r>
      <w:proofErr w:type="gramStart"/>
      <w:r w:rsidRPr="00885B7D">
        <w:rPr>
          <w:rFonts w:eastAsia="Times New Roman" w:cs="Arial"/>
          <w:i/>
          <w:lang w:eastAsia="cs-CZ"/>
        </w:rPr>
        <w:t>centrech</w:t>
      </w:r>
      <w:proofErr w:type="gramEnd"/>
      <w:r w:rsidRPr="00885B7D">
        <w:rPr>
          <w:rFonts w:eastAsia="Times New Roman" w:cs="Arial"/>
          <w:i/>
          <w:lang w:eastAsia="cs-CZ"/>
        </w:rPr>
        <w:t xml:space="preserve">. </w:t>
      </w:r>
    </w:p>
    <w:p w14:paraId="2F8BAB5D" w14:textId="77777777" w:rsidR="00A833CE" w:rsidRPr="00885B7D" w:rsidRDefault="00A833CE" w:rsidP="00436BF0">
      <w:pPr>
        <w:spacing w:after="0"/>
        <w:jc w:val="both"/>
        <w:rPr>
          <w:rFonts w:eastAsia="Times New Roman" w:cs="Arial"/>
          <w:i/>
          <w:lang w:eastAsia="cs-CZ"/>
        </w:rPr>
      </w:pPr>
      <w:r w:rsidRPr="00885B7D">
        <w:rPr>
          <w:rFonts w:eastAsia="Times New Roman" w:cs="Arial"/>
          <w:i/>
          <w:lang w:eastAsia="cs-CZ"/>
        </w:rPr>
        <w:t xml:space="preserve">Jako </w:t>
      </w:r>
      <w:r w:rsidRPr="00885B7D">
        <w:rPr>
          <w:rFonts w:eastAsia="Times New Roman" w:cs="Arial"/>
          <w:b/>
          <w:i/>
          <w:lang w:eastAsia="cs-CZ"/>
        </w:rPr>
        <w:t>osobnostní problémy</w:t>
      </w:r>
      <w:r w:rsidRPr="00885B7D">
        <w:rPr>
          <w:rFonts w:eastAsia="Times New Roman" w:cs="Arial"/>
          <w:i/>
          <w:lang w:eastAsia="cs-CZ"/>
        </w:rPr>
        <w:t xml:space="preserve">, jsou označeny ty, které souvisejí přímo s osobností pedagoga. Pedagog je důležitým článkem celého vzdělávacího procesu a je proto nezbytné na něj takto pohlížet a všímat si i jeho osobnostních limitů. Sem lze zařadit obavy, které pedagogové z návštěvy science centra mají či jejich případná (ne)odbornost v technických a přírodovědných předmětech, jejich vztah k aktivizačním a dalším moderním metodám výuky či ochota vzít na sebe riziko s pobytu s žáky mimo budovu školy. Tyto překážky jsou odstranitelné či překonatelné pouze samotnými pedagogy. Science centrum a školy jim pouze mohou vytvořit podmínky, které tyto jejich obavy a problémy sníží, avšak krok do neznáma musí pedagog učinit sám. </w:t>
      </w:r>
    </w:p>
    <w:p w14:paraId="4E163B93" w14:textId="77777777" w:rsidR="00436BF0" w:rsidRDefault="00A833CE" w:rsidP="00436BF0">
      <w:pPr>
        <w:spacing w:after="0"/>
        <w:jc w:val="both"/>
        <w:rPr>
          <w:rFonts w:eastAsia="Times New Roman" w:cs="Arial"/>
          <w:i/>
          <w:lang w:eastAsia="cs-CZ"/>
        </w:rPr>
      </w:pPr>
      <w:r w:rsidRPr="00885B7D">
        <w:rPr>
          <w:rFonts w:eastAsia="Times New Roman" w:cs="Arial"/>
          <w:i/>
          <w:lang w:eastAsia="cs-CZ"/>
        </w:rPr>
        <w:t xml:space="preserve">Jako </w:t>
      </w:r>
      <w:r w:rsidRPr="00885B7D">
        <w:rPr>
          <w:rFonts w:eastAsia="Times New Roman" w:cs="Arial"/>
          <w:b/>
          <w:i/>
          <w:lang w:eastAsia="cs-CZ"/>
        </w:rPr>
        <w:t>výuková oblast</w:t>
      </w:r>
      <w:r w:rsidRPr="00885B7D">
        <w:rPr>
          <w:rFonts w:eastAsia="Times New Roman" w:cs="Arial"/>
          <w:i/>
          <w:lang w:eastAsia="cs-CZ"/>
        </w:rPr>
        <w:t xml:space="preserve"> pak byly označeny překážky, které učitelé vnímají, jako problematické ve vztahu k nutnosti odučit látku dle ŠVP. Zde se výzkum snažil postihnout, zda se s dětmi na návštěvu science </w:t>
      </w:r>
      <w:r w:rsidRPr="00885B7D">
        <w:rPr>
          <w:rFonts w:eastAsia="Times New Roman" w:cs="Arial"/>
          <w:i/>
          <w:lang w:eastAsia="cs-CZ"/>
        </w:rPr>
        <w:lastRenderedPageBreak/>
        <w:t xml:space="preserve">centra konkrétněji připravují, či zda látku probranou v rámci výukových programů ve výuce dále zohledňují. Do oblasti spadá i odpovědi na otázku zda škola má v rámci ŠVP projektovou výuku a zda učitelé zařazují do výuky aktivizační prvky.  </w:t>
      </w:r>
    </w:p>
    <w:p w14:paraId="7402DAC7" w14:textId="7779CBEF" w:rsidR="00A833CE" w:rsidRDefault="00A833CE" w:rsidP="00436BF0">
      <w:pPr>
        <w:spacing w:after="0"/>
        <w:jc w:val="both"/>
        <w:rPr>
          <w:rFonts w:eastAsia="Times New Roman" w:cs="Arial"/>
          <w:i/>
          <w:lang w:eastAsia="cs-CZ"/>
        </w:rPr>
      </w:pPr>
      <w:r w:rsidRPr="00885B7D">
        <w:rPr>
          <w:rFonts w:eastAsia="Times New Roman" w:cs="Arial"/>
          <w:i/>
          <w:lang w:eastAsia="cs-CZ"/>
        </w:rPr>
        <w:t>Během prvních rozhovorů se objevila i problematika toho, kdo do science centra se třídou přichází – je to odborník na přírodní vědy či jinak profesně zaměřený učitel?</w:t>
      </w:r>
      <w:r w:rsidR="002262C8">
        <w:rPr>
          <w:rFonts w:eastAsia="Times New Roman" w:cs="Arial"/>
          <w:i/>
          <w:lang w:eastAsia="cs-CZ"/>
        </w:rPr>
        <w:t>“</w:t>
      </w:r>
    </w:p>
    <w:p w14:paraId="30DAE178" w14:textId="77777777" w:rsidR="00436BF0" w:rsidRDefault="00436BF0" w:rsidP="00436BF0">
      <w:pPr>
        <w:spacing w:after="0"/>
        <w:jc w:val="both"/>
        <w:rPr>
          <w:rFonts w:eastAsia="Times New Roman" w:cs="Arial"/>
          <w:lang w:eastAsia="cs-CZ"/>
        </w:rPr>
      </w:pPr>
    </w:p>
    <w:p w14:paraId="7AB8D676" w14:textId="21933062" w:rsidR="00436BF0" w:rsidRDefault="00A833CE" w:rsidP="00436BF0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Co se týká technických problémů, </w:t>
      </w:r>
      <w:r w:rsidRPr="00885B7D">
        <w:rPr>
          <w:rFonts w:eastAsia="Times New Roman" w:cs="Arial"/>
          <w:lang w:eastAsia="cs-CZ"/>
        </w:rPr>
        <w:t xml:space="preserve">návštěvnost </w:t>
      </w:r>
      <w:r>
        <w:rPr>
          <w:rFonts w:eastAsia="Times New Roman" w:cs="Arial"/>
          <w:lang w:eastAsia="cs-CZ"/>
        </w:rPr>
        <w:t xml:space="preserve">science centra </w:t>
      </w:r>
      <w:r w:rsidRPr="00885B7D">
        <w:rPr>
          <w:rFonts w:eastAsia="Times New Roman" w:cs="Arial"/>
          <w:lang w:eastAsia="cs-CZ"/>
        </w:rPr>
        <w:t xml:space="preserve">není </w:t>
      </w:r>
      <w:r>
        <w:rPr>
          <w:rFonts w:eastAsia="Times New Roman" w:cs="Arial"/>
          <w:lang w:eastAsia="cs-CZ"/>
        </w:rPr>
        <w:t xml:space="preserve">dle zjištění autorky </w:t>
      </w:r>
      <w:r w:rsidRPr="00885B7D">
        <w:rPr>
          <w:rFonts w:eastAsia="Times New Roman" w:cs="Arial"/>
          <w:lang w:eastAsia="cs-CZ"/>
        </w:rPr>
        <w:t xml:space="preserve">limitovaná dojezdovou vzdáleností do 1 hodiny. Naopak zájem o programy je ze </w:t>
      </w:r>
      <w:r>
        <w:rPr>
          <w:rFonts w:eastAsia="Times New Roman" w:cs="Arial"/>
          <w:lang w:eastAsia="cs-CZ"/>
        </w:rPr>
        <w:t>škol v rámci celé republiky, ne</w:t>
      </w:r>
      <w:r w:rsidRPr="00885B7D">
        <w:rPr>
          <w:rFonts w:eastAsia="Times New Roman" w:cs="Arial"/>
          <w:lang w:eastAsia="cs-CZ"/>
        </w:rPr>
        <w:t xml:space="preserve">jenom z Jihomoravského kraje. Častými návštěvníky jsou i organizované skupiny z nedalekého Slovenska. Z dotazníkového šetření také vyplynulo, že poměr brněnských a mimobrněnských škol je zhruba vyrovnaný. Z dotazníků je </w:t>
      </w:r>
      <w:r>
        <w:rPr>
          <w:rFonts w:eastAsia="Times New Roman" w:cs="Arial"/>
          <w:lang w:eastAsia="cs-CZ"/>
        </w:rPr>
        <w:t xml:space="preserve">navíc </w:t>
      </w:r>
      <w:r w:rsidRPr="00885B7D">
        <w:rPr>
          <w:rFonts w:eastAsia="Times New Roman" w:cs="Arial"/>
          <w:lang w:eastAsia="cs-CZ"/>
        </w:rPr>
        <w:t xml:space="preserve">zřejmé, že </w:t>
      </w:r>
      <w:r>
        <w:rPr>
          <w:rFonts w:eastAsia="Times New Roman" w:cs="Arial"/>
          <w:lang w:eastAsia="cs-CZ"/>
        </w:rPr>
        <w:t xml:space="preserve">Vida! Není jednou ze zastávek školy přijíždějící na návštěvu, ale že </w:t>
      </w:r>
      <w:r w:rsidRPr="00885B7D">
        <w:rPr>
          <w:rFonts w:eastAsia="Times New Roman" w:cs="Arial"/>
          <w:lang w:eastAsia="cs-CZ"/>
        </w:rPr>
        <w:t>většina školních skupin míří pouze na návštěvu science centra</w:t>
      </w:r>
      <w:r>
        <w:rPr>
          <w:rFonts w:eastAsia="Times New Roman" w:cs="Arial"/>
          <w:lang w:eastAsia="cs-CZ"/>
        </w:rPr>
        <w:t>, tudíž by bylo možné maximálně využít čas, na který skupiny přijíždí (3 – 4 hodiny). Co se týká četnosti potenciálních polodenních návštěv</w:t>
      </w:r>
      <w:r w:rsidR="008371C1">
        <w:rPr>
          <w:rFonts w:eastAsia="Times New Roman" w:cs="Arial"/>
          <w:lang w:eastAsia="cs-CZ"/>
        </w:rPr>
        <w:t>,</w:t>
      </w:r>
      <w:r>
        <w:rPr>
          <w:rFonts w:eastAsia="Times New Roman" w:cs="Arial"/>
          <w:lang w:eastAsia="cs-CZ"/>
        </w:rPr>
        <w:t xml:space="preserve"> z dotazníkového šetření vyplynulo, že je situace </w:t>
      </w:r>
      <w:r w:rsidRPr="004D093C">
        <w:rPr>
          <w:rFonts w:eastAsia="Times New Roman" w:cs="Arial"/>
          <w:lang w:eastAsia="cs-CZ"/>
        </w:rPr>
        <w:t>odlišná na 1. stupni základní školy, kde má učitel možnost využít tímto způsobem 10 dní během školního roku. Na</w:t>
      </w:r>
      <w:r>
        <w:rPr>
          <w:rFonts w:eastAsia="Times New Roman" w:cs="Arial"/>
          <w:lang w:eastAsia="cs-CZ"/>
        </w:rPr>
        <w:t xml:space="preserve"> 2. stupni </w:t>
      </w:r>
      <w:r w:rsidRPr="004D093C">
        <w:rPr>
          <w:rFonts w:eastAsia="Times New Roman" w:cs="Arial"/>
          <w:lang w:eastAsia="cs-CZ"/>
        </w:rPr>
        <w:t xml:space="preserve">mohou učitelé </w:t>
      </w:r>
      <w:r>
        <w:rPr>
          <w:rFonts w:eastAsia="Times New Roman" w:cs="Arial"/>
          <w:lang w:eastAsia="cs-CZ"/>
        </w:rPr>
        <w:t>návštěvu realizovat</w:t>
      </w:r>
      <w:r w:rsidRPr="004D093C">
        <w:rPr>
          <w:rFonts w:eastAsia="Times New Roman" w:cs="Arial"/>
          <w:lang w:eastAsia="cs-CZ"/>
        </w:rPr>
        <w:t xml:space="preserve"> jednou za pololetí nebo 2 dny během školního roku. Nejpalčivěji tento problém vnímají na gymnáziích, kde pod vlivem množství učiva daného ŠVP je ztráta každé vyučovací hodiny problémem.  </w:t>
      </w:r>
    </w:p>
    <w:p w14:paraId="7E8F3A62" w14:textId="77777777" w:rsidR="00436BF0" w:rsidRDefault="00436BF0" w:rsidP="00436BF0">
      <w:pPr>
        <w:spacing w:after="0"/>
        <w:jc w:val="both"/>
        <w:rPr>
          <w:rFonts w:eastAsia="Times New Roman" w:cs="Arial"/>
          <w:lang w:eastAsia="cs-CZ"/>
        </w:rPr>
      </w:pPr>
    </w:p>
    <w:p w14:paraId="76490B44" w14:textId="20086ECC" w:rsidR="00A833CE" w:rsidRDefault="00A833CE" w:rsidP="00436BF0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této souvislosti se paní Opluštilová okamžitě zamýšlí nad možností úpravy otevírací doby centra, která by tak řešila situaci pro školy brněnské (od 8 hodin) i nad formátem programů, který by mohl být volen i jako dlouhodoběji ovlivňující pro žáky 1. stupně. </w:t>
      </w:r>
    </w:p>
    <w:p w14:paraId="6B421E12" w14:textId="3FE2D068" w:rsidR="00A833CE" w:rsidRDefault="00A833CE" w:rsidP="00436BF0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Překážkou zejména pro mimobrněnské školy je pak doprava a její finanční náročnost, která se při objednání samostatného</w:t>
      </w:r>
      <w:r w:rsidR="008371C1">
        <w:rPr>
          <w:rFonts w:eastAsia="Times New Roman" w:cs="Arial"/>
          <w:lang w:eastAsia="cs-CZ"/>
        </w:rPr>
        <w:t xml:space="preserve"> autobusu šplhá </w:t>
      </w:r>
      <w:proofErr w:type="gramStart"/>
      <w:r w:rsidR="008371C1">
        <w:rPr>
          <w:rFonts w:eastAsia="Times New Roman" w:cs="Arial"/>
          <w:lang w:eastAsia="cs-CZ"/>
        </w:rPr>
        <w:t>ke</w:t>
      </w:r>
      <w:proofErr w:type="gramEnd"/>
      <w:r>
        <w:rPr>
          <w:rFonts w:eastAsia="Times New Roman" w:cs="Arial"/>
          <w:lang w:eastAsia="cs-CZ"/>
        </w:rPr>
        <w:t xml:space="preserve"> 100 Kč na dítě, což při součtu s cenou vstupného již není zanedbatelné. </w:t>
      </w:r>
    </w:p>
    <w:p w14:paraId="61137A1E" w14:textId="77777777" w:rsidR="008371C1" w:rsidRDefault="008371C1" w:rsidP="00436BF0">
      <w:pPr>
        <w:spacing w:after="0"/>
        <w:jc w:val="both"/>
        <w:rPr>
          <w:rFonts w:eastAsia="Times New Roman" w:cs="Arial"/>
          <w:lang w:eastAsia="cs-CZ"/>
        </w:rPr>
      </w:pPr>
    </w:p>
    <w:p w14:paraId="45CA6C02" w14:textId="14BF5494" w:rsidR="00A833CE" w:rsidRPr="0094555D" w:rsidRDefault="00A833CE" w:rsidP="00436BF0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 dotazníků i rozhovorů </w:t>
      </w:r>
      <w:r w:rsidRPr="0094555D">
        <w:rPr>
          <w:rFonts w:eastAsia="Times New Roman" w:cs="Arial"/>
          <w:lang w:eastAsia="cs-CZ"/>
        </w:rPr>
        <w:t xml:space="preserve">vyplynulo, že učitelé věnují přípravě na vyučování výrazně více času, než mají stanoveno. Většinou na úkor rodinného života nebo volného času. Z pohledu science centra a jeho snahy, </w:t>
      </w:r>
      <w:r w:rsidRPr="009C3E2B">
        <w:rPr>
          <w:rFonts w:eastAsia="Times New Roman" w:cs="Arial"/>
          <w:b/>
          <w:lang w:eastAsia="cs-CZ"/>
        </w:rPr>
        <w:t>aby učitelé, kteří jej se třídou navštěvují, byli na návštěvu připraveni a byli schopni na výstupy navazovat ve výuce</w:t>
      </w:r>
      <w:r w:rsidRPr="0094555D">
        <w:rPr>
          <w:rFonts w:eastAsia="Times New Roman" w:cs="Arial"/>
          <w:lang w:eastAsia="cs-CZ"/>
        </w:rPr>
        <w:t xml:space="preserve">, je tato situace neradostná. Je to pro ně práce navíc, kterou by měli realizovat v čase, který nemají. Na druhou stranu, lze vidět pozitivum v tom, že učitelé jsou ochotni se žákům věnovat i nad rámec své pracovní doby. </w:t>
      </w:r>
    </w:p>
    <w:p w14:paraId="332432C4" w14:textId="4DE67884" w:rsidR="00A833CE" w:rsidRDefault="00A833CE" w:rsidP="00436BF0">
      <w:pPr>
        <w:spacing w:after="0"/>
        <w:jc w:val="both"/>
        <w:rPr>
          <w:rFonts w:eastAsia="Times New Roman" w:cs="Arial"/>
          <w:lang w:eastAsia="cs-CZ"/>
        </w:rPr>
      </w:pPr>
      <w:r w:rsidRPr="00222C08">
        <w:rPr>
          <w:rFonts w:eastAsia="Times New Roman" w:cs="Arial"/>
          <w:lang w:eastAsia="cs-CZ"/>
        </w:rPr>
        <w:t xml:space="preserve">Nedostatek času, který mohou pedagogové během své pracovní doby věnovat nepřímé vyučovací povinnosti je největším rizikem </w:t>
      </w:r>
      <w:r>
        <w:rPr>
          <w:rFonts w:eastAsia="Times New Roman" w:cs="Arial"/>
          <w:lang w:eastAsia="cs-CZ"/>
        </w:rPr>
        <w:t xml:space="preserve">identifikovaným autorkou </w:t>
      </w:r>
      <w:r w:rsidRPr="00222C08">
        <w:rPr>
          <w:rFonts w:eastAsia="Times New Roman" w:cs="Arial"/>
          <w:lang w:eastAsia="cs-CZ"/>
        </w:rPr>
        <w:t xml:space="preserve">i v rámci plánovaného projektu VIDA! </w:t>
      </w:r>
      <w:proofErr w:type="gramStart"/>
      <w:r w:rsidRPr="00222C08">
        <w:rPr>
          <w:rFonts w:eastAsia="Times New Roman" w:cs="Arial"/>
          <w:lang w:eastAsia="cs-CZ"/>
        </w:rPr>
        <w:t>školám</w:t>
      </w:r>
      <w:proofErr w:type="gramEnd"/>
      <w:r w:rsidRPr="00222C08">
        <w:rPr>
          <w:rFonts w:eastAsia="Times New Roman" w:cs="Arial"/>
          <w:lang w:eastAsia="cs-CZ"/>
        </w:rPr>
        <w:t xml:space="preserve"> a je zatím největší překážkou v užší spolupráci mezi učiteli a lektory.  </w:t>
      </w:r>
    </w:p>
    <w:p w14:paraId="149094F9" w14:textId="77777777" w:rsidR="00436BF0" w:rsidRDefault="00436BF0" w:rsidP="00436BF0">
      <w:pPr>
        <w:spacing w:after="0"/>
        <w:jc w:val="both"/>
        <w:rPr>
          <w:rFonts w:eastAsia="Times New Roman" w:cs="Arial"/>
          <w:lang w:eastAsia="cs-CZ"/>
        </w:rPr>
      </w:pPr>
    </w:p>
    <w:p w14:paraId="0EBC4839" w14:textId="7B61FBCC" w:rsidR="00A833CE" w:rsidRPr="009C3E2B" w:rsidRDefault="00A833CE" w:rsidP="00436BF0">
      <w:pPr>
        <w:spacing w:after="0"/>
        <w:jc w:val="both"/>
        <w:rPr>
          <w:rFonts w:eastAsia="Times New Roman" w:cs="Arial"/>
          <w:i/>
          <w:lang w:eastAsia="cs-CZ"/>
        </w:rPr>
      </w:pPr>
      <w:r w:rsidRPr="00222C08">
        <w:rPr>
          <w:rFonts w:eastAsia="Times New Roman" w:cs="Arial"/>
          <w:lang w:eastAsia="cs-CZ"/>
        </w:rPr>
        <w:t>Původní předpo</w:t>
      </w:r>
      <w:r>
        <w:rPr>
          <w:rFonts w:eastAsia="Times New Roman" w:cs="Arial"/>
          <w:lang w:eastAsia="cs-CZ"/>
        </w:rPr>
        <w:t xml:space="preserve">klad zaměstnanců science centra, </w:t>
      </w:r>
      <w:r w:rsidRPr="00222C08">
        <w:rPr>
          <w:rFonts w:eastAsia="Times New Roman" w:cs="Arial"/>
          <w:lang w:eastAsia="cs-CZ"/>
        </w:rPr>
        <w:t>že vzdělávací programy týkající se přírodních věd vybírají učitelé, kteří tento předmět vyučují a v rámci výuky tento program navštíví</w:t>
      </w:r>
      <w:r>
        <w:rPr>
          <w:rFonts w:eastAsia="Times New Roman" w:cs="Arial"/>
          <w:lang w:eastAsia="cs-CZ"/>
        </w:rPr>
        <w:t>, se ukázal jako zejména na 2. st. ZŠ lichý – většinově přijíždí třídní učitelé</w:t>
      </w:r>
      <w:r w:rsidRPr="00222C08">
        <w:rPr>
          <w:rFonts w:eastAsia="Times New Roman" w:cs="Arial"/>
          <w:lang w:eastAsia="cs-CZ"/>
        </w:rPr>
        <w:t>. Programy pro děti prvního stupně jsou připravovány a vedeny hodně průřezově a neočekává se nutnost cíleného zaměření na konkrétní vyučující předmět</w:t>
      </w:r>
      <w:r>
        <w:rPr>
          <w:rFonts w:eastAsia="Times New Roman" w:cs="Arial"/>
          <w:lang w:eastAsia="cs-CZ"/>
        </w:rPr>
        <w:t>. Zde však zcela záleží na proaktivnosti pedagoga</w:t>
      </w:r>
      <w:r w:rsidRPr="00222C08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 xml:space="preserve"> 40</w:t>
      </w:r>
      <w:r w:rsidR="008371C1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% respondentů uvedlo, že by mělo zájem o proškolování pedagogů ze strany science centra, pokud by toto uvádělo jako akreditované kurzy pro pedagog</w:t>
      </w:r>
      <w:r w:rsidR="00436BF0">
        <w:rPr>
          <w:rFonts w:eastAsia="Times New Roman" w:cs="Arial"/>
          <w:lang w:eastAsia="cs-CZ"/>
        </w:rPr>
        <w:t xml:space="preserve">ické </w:t>
      </w:r>
      <w:r>
        <w:rPr>
          <w:rFonts w:eastAsia="Times New Roman" w:cs="Arial"/>
          <w:lang w:eastAsia="cs-CZ"/>
        </w:rPr>
        <w:t>pracovníky a připravovalo tak pedagogy na návštěvu science centra dle témat. Zatím</w:t>
      </w:r>
      <w:r w:rsidRPr="009C3E2B">
        <w:rPr>
          <w:rFonts w:eastAsia="Times New Roman" w:cs="Arial"/>
          <w:lang w:eastAsia="cs-CZ"/>
        </w:rPr>
        <w:t xml:space="preserve">co na prvním stupni se učitelé potýkají </w:t>
      </w:r>
      <w:r>
        <w:rPr>
          <w:rFonts w:eastAsia="Times New Roman" w:cs="Arial"/>
          <w:lang w:eastAsia="cs-CZ"/>
        </w:rPr>
        <w:t xml:space="preserve">při návštěvě </w:t>
      </w:r>
      <w:r w:rsidRPr="009C3E2B">
        <w:rPr>
          <w:rFonts w:eastAsia="Times New Roman" w:cs="Arial"/>
          <w:lang w:eastAsia="cs-CZ"/>
        </w:rPr>
        <w:t xml:space="preserve">především s obavami o bezpečnost dětí ve velkém volném prostoru expozice, učitelé na druhé stupni cítí potřebu návštěvu expozice více strukturovat a vytěžit z ní pro žáky maximum. </w:t>
      </w:r>
      <w:r>
        <w:rPr>
          <w:rFonts w:eastAsia="Times New Roman" w:cs="Arial"/>
          <w:lang w:eastAsia="cs-CZ"/>
        </w:rPr>
        <w:t>„</w:t>
      </w:r>
      <w:r w:rsidRPr="009C3E2B">
        <w:rPr>
          <w:rFonts w:eastAsia="Times New Roman" w:cs="Arial"/>
          <w:i/>
          <w:lang w:eastAsia="cs-CZ"/>
        </w:rPr>
        <w:t xml:space="preserve">Jejich obavy z povrchnosti návštěvy pramení z nedostatku informací o informálním vzdělávacím potenciálu samotné expozice. Jako problém </w:t>
      </w:r>
      <w:r w:rsidRPr="009C3E2B">
        <w:rPr>
          <w:rFonts w:eastAsia="Times New Roman" w:cs="Arial"/>
          <w:i/>
          <w:lang w:eastAsia="cs-CZ"/>
        </w:rPr>
        <w:lastRenderedPageBreak/>
        <w:t>učitelé zejména prvního stupně vnímají svou nedostatečnou znalost expozice, jednotlivých exponátů a jevů</w:t>
      </w:r>
      <w:r w:rsidR="00B544ED">
        <w:rPr>
          <w:rFonts w:eastAsia="Times New Roman" w:cs="Arial"/>
          <w:i/>
          <w:lang w:eastAsia="cs-CZ"/>
        </w:rPr>
        <w:t>,</w:t>
      </w:r>
      <w:r w:rsidRPr="009C3E2B">
        <w:rPr>
          <w:rFonts w:eastAsia="Times New Roman" w:cs="Arial"/>
          <w:i/>
          <w:lang w:eastAsia="cs-CZ"/>
        </w:rPr>
        <w:t xml:space="preserve"> jež prezentují. Řešením je cílená kontinuální práce s učiteli, zvýšení jejich informovanosti a větší míra spolupráce lektorů s učiteli 1. stupně.  </w:t>
      </w:r>
    </w:p>
    <w:p w14:paraId="682B6877" w14:textId="1ECFBE6F" w:rsidR="00A833CE" w:rsidRPr="009C3E2B" w:rsidRDefault="00A833CE" w:rsidP="00436BF0">
      <w:pPr>
        <w:spacing w:after="0"/>
        <w:jc w:val="both"/>
        <w:rPr>
          <w:rFonts w:eastAsia="Times New Roman" w:cs="Arial"/>
          <w:i/>
          <w:lang w:eastAsia="cs-CZ"/>
        </w:rPr>
      </w:pPr>
      <w:r w:rsidRPr="009C3E2B">
        <w:rPr>
          <w:rFonts w:eastAsia="Times New Roman" w:cs="Arial"/>
          <w:i/>
          <w:lang w:eastAsia="cs-CZ"/>
        </w:rPr>
        <w:t>Důležitým momentem je ochota pedagogů i lektorů vzájemně spolupracovat a hledat možnosti, jak propojit výuku v science centru do výukového systému školy.</w:t>
      </w:r>
      <w:r>
        <w:rPr>
          <w:rFonts w:eastAsia="Times New Roman" w:cs="Arial"/>
          <w:i/>
          <w:lang w:eastAsia="cs-CZ"/>
        </w:rPr>
        <w:t>“ (s.</w:t>
      </w:r>
      <w:r w:rsidR="00B544ED">
        <w:rPr>
          <w:rFonts w:eastAsia="Times New Roman" w:cs="Arial"/>
          <w:i/>
          <w:lang w:eastAsia="cs-CZ"/>
        </w:rPr>
        <w:t xml:space="preserve"> </w:t>
      </w:r>
      <w:r>
        <w:rPr>
          <w:rFonts w:eastAsia="Times New Roman" w:cs="Arial"/>
          <w:i/>
          <w:lang w:eastAsia="cs-CZ"/>
        </w:rPr>
        <w:t>53)</w:t>
      </w:r>
    </w:p>
    <w:p w14:paraId="645396CD" w14:textId="77777777" w:rsidR="00A833CE" w:rsidRPr="00222C08" w:rsidRDefault="00A833CE" w:rsidP="00A833CE">
      <w:pPr>
        <w:spacing w:after="0"/>
        <w:ind w:firstLine="708"/>
        <w:jc w:val="both"/>
        <w:rPr>
          <w:rFonts w:eastAsia="Times New Roman" w:cs="Arial"/>
          <w:lang w:eastAsia="cs-CZ"/>
        </w:rPr>
      </w:pPr>
    </w:p>
    <w:p w14:paraId="660D6D71" w14:textId="70013D15" w:rsidR="00436BF0" w:rsidRDefault="00436BF0" w:rsidP="00436BF0">
      <w:pPr>
        <w:spacing w:after="0"/>
        <w:rPr>
          <w:rFonts w:ascii="Calibri" w:hAnsi="Calibri" w:cs="Calibri"/>
          <w:color w:val="000000"/>
        </w:rPr>
      </w:pPr>
      <w:r w:rsidRPr="00926574">
        <w:rPr>
          <w:b/>
        </w:rPr>
        <w:t xml:space="preserve">Zpracoval: </w:t>
      </w:r>
      <w:r w:rsidRPr="003C1973">
        <w:rPr>
          <w:rFonts w:ascii="Calibri" w:hAnsi="Calibri" w:cs="Calibri"/>
          <w:color w:val="000000"/>
        </w:rPr>
        <w:t>Jiří Bakončík</w:t>
      </w:r>
      <w:r>
        <w:t xml:space="preserve">, odborný pracovník centra kolegiální podpory Ostrava NPI ČR dne 23. 12. 2020 v rámci projektu </w:t>
      </w:r>
      <w:r w:rsidRPr="00926574">
        <w:rPr>
          <w:rFonts w:ascii="Calibri" w:hAnsi="Calibri" w:cs="Calibri"/>
          <w:i/>
          <w:color w:val="000000"/>
        </w:rPr>
        <w:t>Propojování formálního a neformálního vzdělávání včetně zájmového</w:t>
      </w:r>
      <w:r w:rsidRPr="003C1973">
        <w:rPr>
          <w:rFonts w:ascii="Calibri" w:hAnsi="Calibri" w:cs="Calibri"/>
          <w:color w:val="000000"/>
        </w:rPr>
        <w:t xml:space="preserve">, číslo projektu: CZ.02.3.68/0.0/0.0/16_032/0008160 </w:t>
      </w:r>
    </w:p>
    <w:p w14:paraId="3F0A4A1C" w14:textId="08C9F5E2" w:rsidR="00436BF0" w:rsidRDefault="00436BF0" w:rsidP="00436BF0">
      <w:pPr>
        <w:spacing w:after="0"/>
        <w:rPr>
          <w:rFonts w:ascii="Calibri" w:hAnsi="Calibri" w:cs="Calibri"/>
          <w:color w:val="000000"/>
        </w:rPr>
      </w:pPr>
    </w:p>
    <w:p w14:paraId="46EA8D2F" w14:textId="77777777" w:rsidR="00436BF0" w:rsidRPr="003C1973" w:rsidRDefault="00436BF0" w:rsidP="00436BF0">
      <w:pPr>
        <w:spacing w:after="0"/>
      </w:pPr>
    </w:p>
    <w:p w14:paraId="65EE4A5B" w14:textId="4F242454" w:rsidR="00BB6A24" w:rsidRDefault="003C1973" w:rsidP="00BB6A2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EFE618" wp14:editId="1DB77689">
            <wp:simplePos x="0" y="0"/>
            <wp:positionH relativeFrom="column">
              <wp:posOffset>723265</wp:posOffset>
            </wp:positionH>
            <wp:positionV relativeFrom="paragraph">
              <wp:posOffset>8255</wp:posOffset>
            </wp:positionV>
            <wp:extent cx="1299845" cy="457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</w:t>
      </w:r>
      <w:r w:rsidR="00BB6A24">
        <w:t>icence:</w:t>
      </w:r>
      <w:r w:rsidR="00BB6A24">
        <w:tab/>
      </w:r>
      <w:r w:rsidR="00BB6A24">
        <w:tab/>
      </w:r>
    </w:p>
    <w:p w14:paraId="50083536" w14:textId="77777777" w:rsidR="00BB6A24" w:rsidRPr="008555C9" w:rsidRDefault="00BB6A24" w:rsidP="00A35068">
      <w:pPr>
        <w:spacing w:after="240"/>
        <w:rPr>
          <w:b/>
          <w:bCs/>
          <w:sz w:val="24"/>
          <w:szCs w:val="24"/>
        </w:rPr>
      </w:pPr>
    </w:p>
    <w:sectPr w:rsidR="00BB6A24" w:rsidRPr="008555C9" w:rsidSect="004B1AC1">
      <w:head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0691A" w14:textId="77777777" w:rsidR="002D5F02" w:rsidRDefault="002D5F02" w:rsidP="00985329">
      <w:pPr>
        <w:spacing w:after="0" w:line="240" w:lineRule="auto"/>
      </w:pPr>
      <w:r>
        <w:separator/>
      </w:r>
    </w:p>
  </w:endnote>
  <w:endnote w:type="continuationSeparator" w:id="0">
    <w:p w14:paraId="6A76B96C" w14:textId="77777777" w:rsidR="002D5F02" w:rsidRDefault="002D5F02" w:rsidP="00985329">
      <w:pPr>
        <w:spacing w:after="0" w:line="240" w:lineRule="auto"/>
      </w:pPr>
      <w:r>
        <w:continuationSeparator/>
      </w:r>
    </w:p>
  </w:endnote>
  <w:endnote w:type="continuationNotice" w:id="1">
    <w:p w14:paraId="0C9DE3F6" w14:textId="77777777" w:rsidR="002D5F02" w:rsidRDefault="002D5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4FAB" w14:textId="77777777" w:rsidR="002D5F02" w:rsidRDefault="002D5F02" w:rsidP="00985329">
      <w:pPr>
        <w:spacing w:after="0" w:line="240" w:lineRule="auto"/>
      </w:pPr>
      <w:r>
        <w:separator/>
      </w:r>
    </w:p>
  </w:footnote>
  <w:footnote w:type="continuationSeparator" w:id="0">
    <w:p w14:paraId="1B31AE17" w14:textId="77777777" w:rsidR="002D5F02" w:rsidRDefault="002D5F02" w:rsidP="00985329">
      <w:pPr>
        <w:spacing w:after="0" w:line="240" w:lineRule="auto"/>
      </w:pPr>
      <w:r>
        <w:continuationSeparator/>
      </w:r>
    </w:p>
  </w:footnote>
  <w:footnote w:type="continuationNotice" w:id="1">
    <w:p w14:paraId="2F926575" w14:textId="77777777" w:rsidR="002D5F02" w:rsidRDefault="002D5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AE60" w14:textId="61E859E0" w:rsidR="008555C9" w:rsidRPr="008555C9" w:rsidRDefault="002020F5" w:rsidP="008555C9">
    <w:pPr>
      <w:pStyle w:val="Zhlav"/>
      <w:jc w:val="center"/>
      <w:rPr>
        <w:i/>
      </w:rPr>
    </w:pPr>
    <w:r w:rsidRPr="002020F5">
      <w:rPr>
        <w:i/>
        <w:noProof/>
        <w:lang w:eastAsia="cs-CZ"/>
      </w:rPr>
      <w:drawing>
        <wp:inline distT="0" distB="0" distL="0" distR="0" wp14:anchorId="2D152116" wp14:editId="18F767BF">
          <wp:extent cx="4738791" cy="1054614"/>
          <wp:effectExtent l="0" t="0" r="5080" b="0"/>
          <wp:docPr id="5" name="Obrázek 5" descr="C:\Users\Slansk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nsk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79" cy="106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85"/>
    <w:multiLevelType w:val="hybridMultilevel"/>
    <w:tmpl w:val="C23C0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2C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CE6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64B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EC9"/>
    <w:multiLevelType w:val="hybridMultilevel"/>
    <w:tmpl w:val="4076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706"/>
    <w:multiLevelType w:val="hybridMultilevel"/>
    <w:tmpl w:val="7EA8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2"/>
    <w:rsid w:val="000079FA"/>
    <w:rsid w:val="00012DEA"/>
    <w:rsid w:val="00025D4B"/>
    <w:rsid w:val="0002658E"/>
    <w:rsid w:val="000778FC"/>
    <w:rsid w:val="00085C6D"/>
    <w:rsid w:val="00091043"/>
    <w:rsid w:val="000A4DDE"/>
    <w:rsid w:val="000D690C"/>
    <w:rsid w:val="000F2C19"/>
    <w:rsid w:val="00110D8A"/>
    <w:rsid w:val="00126967"/>
    <w:rsid w:val="00135E7B"/>
    <w:rsid w:val="001457D4"/>
    <w:rsid w:val="00165281"/>
    <w:rsid w:val="001675D2"/>
    <w:rsid w:val="00170155"/>
    <w:rsid w:val="0019795D"/>
    <w:rsid w:val="001A6FD5"/>
    <w:rsid w:val="001E007E"/>
    <w:rsid w:val="001F6931"/>
    <w:rsid w:val="002020F5"/>
    <w:rsid w:val="002262C8"/>
    <w:rsid w:val="00231AB0"/>
    <w:rsid w:val="00232A4E"/>
    <w:rsid w:val="002335B6"/>
    <w:rsid w:val="00244FA6"/>
    <w:rsid w:val="002540B3"/>
    <w:rsid w:val="002670AF"/>
    <w:rsid w:val="00283491"/>
    <w:rsid w:val="00285DE1"/>
    <w:rsid w:val="00296297"/>
    <w:rsid w:val="002A1A45"/>
    <w:rsid w:val="002A25B1"/>
    <w:rsid w:val="002B4FDC"/>
    <w:rsid w:val="002B5226"/>
    <w:rsid w:val="002B62ED"/>
    <w:rsid w:val="002D4BB2"/>
    <w:rsid w:val="002D5F02"/>
    <w:rsid w:val="002E6D89"/>
    <w:rsid w:val="002F0D60"/>
    <w:rsid w:val="002F21B8"/>
    <w:rsid w:val="00305AC2"/>
    <w:rsid w:val="00341DC7"/>
    <w:rsid w:val="003524B5"/>
    <w:rsid w:val="00366842"/>
    <w:rsid w:val="003740A1"/>
    <w:rsid w:val="00377444"/>
    <w:rsid w:val="00390D0D"/>
    <w:rsid w:val="003973D3"/>
    <w:rsid w:val="003A5E55"/>
    <w:rsid w:val="003B04C7"/>
    <w:rsid w:val="003C0AFC"/>
    <w:rsid w:val="003C1973"/>
    <w:rsid w:val="003D3352"/>
    <w:rsid w:val="00402B7B"/>
    <w:rsid w:val="00410A83"/>
    <w:rsid w:val="00414C9E"/>
    <w:rsid w:val="0041657E"/>
    <w:rsid w:val="00420C06"/>
    <w:rsid w:val="00436BF0"/>
    <w:rsid w:val="004541BB"/>
    <w:rsid w:val="00492BA4"/>
    <w:rsid w:val="004B1AC1"/>
    <w:rsid w:val="004D5CB7"/>
    <w:rsid w:val="004F2A76"/>
    <w:rsid w:val="005130C2"/>
    <w:rsid w:val="00535302"/>
    <w:rsid w:val="00546622"/>
    <w:rsid w:val="00563221"/>
    <w:rsid w:val="0058057F"/>
    <w:rsid w:val="00583189"/>
    <w:rsid w:val="00586B9A"/>
    <w:rsid w:val="005B3A5F"/>
    <w:rsid w:val="005B442E"/>
    <w:rsid w:val="005C109A"/>
    <w:rsid w:val="005F0B47"/>
    <w:rsid w:val="00610E57"/>
    <w:rsid w:val="00617334"/>
    <w:rsid w:val="00635B55"/>
    <w:rsid w:val="00677726"/>
    <w:rsid w:val="00681114"/>
    <w:rsid w:val="00684122"/>
    <w:rsid w:val="00693230"/>
    <w:rsid w:val="006B5BE0"/>
    <w:rsid w:val="006E045F"/>
    <w:rsid w:val="006E45D5"/>
    <w:rsid w:val="006E6268"/>
    <w:rsid w:val="007025C7"/>
    <w:rsid w:val="00715039"/>
    <w:rsid w:val="00726B91"/>
    <w:rsid w:val="00751008"/>
    <w:rsid w:val="00753BA4"/>
    <w:rsid w:val="00781031"/>
    <w:rsid w:val="00781AE6"/>
    <w:rsid w:val="007B7A4E"/>
    <w:rsid w:val="007C55A7"/>
    <w:rsid w:val="007E7E03"/>
    <w:rsid w:val="007F2A63"/>
    <w:rsid w:val="00806A14"/>
    <w:rsid w:val="00823150"/>
    <w:rsid w:val="00824676"/>
    <w:rsid w:val="008371C1"/>
    <w:rsid w:val="008555C9"/>
    <w:rsid w:val="00856C86"/>
    <w:rsid w:val="0086520F"/>
    <w:rsid w:val="00871313"/>
    <w:rsid w:val="008806C2"/>
    <w:rsid w:val="0088574F"/>
    <w:rsid w:val="00886A7C"/>
    <w:rsid w:val="00895B05"/>
    <w:rsid w:val="008B465B"/>
    <w:rsid w:val="008D5EF8"/>
    <w:rsid w:val="008E18F2"/>
    <w:rsid w:val="009051ED"/>
    <w:rsid w:val="00914445"/>
    <w:rsid w:val="00917BC9"/>
    <w:rsid w:val="00920B59"/>
    <w:rsid w:val="009225E9"/>
    <w:rsid w:val="00925B35"/>
    <w:rsid w:val="00934ED5"/>
    <w:rsid w:val="00955B21"/>
    <w:rsid w:val="00957A58"/>
    <w:rsid w:val="00980140"/>
    <w:rsid w:val="00985329"/>
    <w:rsid w:val="009B6424"/>
    <w:rsid w:val="009E48B0"/>
    <w:rsid w:val="009E6062"/>
    <w:rsid w:val="009F043C"/>
    <w:rsid w:val="00A11046"/>
    <w:rsid w:val="00A2751D"/>
    <w:rsid w:val="00A27DAF"/>
    <w:rsid w:val="00A33E11"/>
    <w:rsid w:val="00A33E8F"/>
    <w:rsid w:val="00A35068"/>
    <w:rsid w:val="00A635D5"/>
    <w:rsid w:val="00A63D93"/>
    <w:rsid w:val="00A746A0"/>
    <w:rsid w:val="00A8128D"/>
    <w:rsid w:val="00A833CE"/>
    <w:rsid w:val="00A93FD5"/>
    <w:rsid w:val="00AA1EBC"/>
    <w:rsid w:val="00AE3FBA"/>
    <w:rsid w:val="00AE7341"/>
    <w:rsid w:val="00AE785B"/>
    <w:rsid w:val="00AF285F"/>
    <w:rsid w:val="00AF2D7F"/>
    <w:rsid w:val="00B0387A"/>
    <w:rsid w:val="00B04C2D"/>
    <w:rsid w:val="00B04E59"/>
    <w:rsid w:val="00B07255"/>
    <w:rsid w:val="00B22D50"/>
    <w:rsid w:val="00B52B10"/>
    <w:rsid w:val="00B544ED"/>
    <w:rsid w:val="00B811E4"/>
    <w:rsid w:val="00B8347F"/>
    <w:rsid w:val="00B953E6"/>
    <w:rsid w:val="00BA7EAB"/>
    <w:rsid w:val="00BB4E36"/>
    <w:rsid w:val="00BB6A24"/>
    <w:rsid w:val="00BB6BFF"/>
    <w:rsid w:val="00BC644E"/>
    <w:rsid w:val="00BD0CEE"/>
    <w:rsid w:val="00BE5487"/>
    <w:rsid w:val="00C03815"/>
    <w:rsid w:val="00C06C82"/>
    <w:rsid w:val="00C13E8B"/>
    <w:rsid w:val="00C16112"/>
    <w:rsid w:val="00C17C90"/>
    <w:rsid w:val="00C40656"/>
    <w:rsid w:val="00C766E5"/>
    <w:rsid w:val="00C822DD"/>
    <w:rsid w:val="00CA1B15"/>
    <w:rsid w:val="00CB3F9C"/>
    <w:rsid w:val="00CB7A90"/>
    <w:rsid w:val="00CD25F1"/>
    <w:rsid w:val="00CD6190"/>
    <w:rsid w:val="00CD64A1"/>
    <w:rsid w:val="00CE25E7"/>
    <w:rsid w:val="00D04E7F"/>
    <w:rsid w:val="00D13E0C"/>
    <w:rsid w:val="00D16401"/>
    <w:rsid w:val="00D2049F"/>
    <w:rsid w:val="00D37312"/>
    <w:rsid w:val="00D378D7"/>
    <w:rsid w:val="00D567D3"/>
    <w:rsid w:val="00D60290"/>
    <w:rsid w:val="00D61A09"/>
    <w:rsid w:val="00D90193"/>
    <w:rsid w:val="00DA3317"/>
    <w:rsid w:val="00DB05A5"/>
    <w:rsid w:val="00DB1E4C"/>
    <w:rsid w:val="00DB6832"/>
    <w:rsid w:val="00DD5979"/>
    <w:rsid w:val="00DE1B3D"/>
    <w:rsid w:val="00E21B34"/>
    <w:rsid w:val="00E31CAB"/>
    <w:rsid w:val="00E33D6F"/>
    <w:rsid w:val="00E35811"/>
    <w:rsid w:val="00E40B08"/>
    <w:rsid w:val="00E41402"/>
    <w:rsid w:val="00E630F9"/>
    <w:rsid w:val="00E74802"/>
    <w:rsid w:val="00E904D7"/>
    <w:rsid w:val="00E95139"/>
    <w:rsid w:val="00E97BF0"/>
    <w:rsid w:val="00EA3A64"/>
    <w:rsid w:val="00EB5AC5"/>
    <w:rsid w:val="00EC0427"/>
    <w:rsid w:val="00ED0044"/>
    <w:rsid w:val="00EF0EC1"/>
    <w:rsid w:val="00EF1DB8"/>
    <w:rsid w:val="00F009A7"/>
    <w:rsid w:val="00F00DDF"/>
    <w:rsid w:val="00F04DE2"/>
    <w:rsid w:val="00F51C27"/>
    <w:rsid w:val="00F73AC1"/>
    <w:rsid w:val="00F80A81"/>
    <w:rsid w:val="00F86425"/>
    <w:rsid w:val="00F919AF"/>
    <w:rsid w:val="00FC7E02"/>
    <w:rsid w:val="00FD5257"/>
    <w:rsid w:val="00FE0328"/>
    <w:rsid w:val="00FE7A4E"/>
    <w:rsid w:val="00FF0F94"/>
    <w:rsid w:val="00FF4C87"/>
    <w:rsid w:val="06219554"/>
    <w:rsid w:val="10D34D35"/>
    <w:rsid w:val="12342888"/>
    <w:rsid w:val="18F8076F"/>
    <w:rsid w:val="1941A8AD"/>
    <w:rsid w:val="1A05E285"/>
    <w:rsid w:val="1CA5A1FD"/>
    <w:rsid w:val="20518B0F"/>
    <w:rsid w:val="23E9A332"/>
    <w:rsid w:val="244922A8"/>
    <w:rsid w:val="285A76FD"/>
    <w:rsid w:val="285D12F6"/>
    <w:rsid w:val="28D202DE"/>
    <w:rsid w:val="29248648"/>
    <w:rsid w:val="2B98676A"/>
    <w:rsid w:val="34E3A963"/>
    <w:rsid w:val="3CBC44FE"/>
    <w:rsid w:val="3F444561"/>
    <w:rsid w:val="411CB94B"/>
    <w:rsid w:val="416F76E6"/>
    <w:rsid w:val="45E4BDDF"/>
    <w:rsid w:val="4AE46D02"/>
    <w:rsid w:val="4FFE739F"/>
    <w:rsid w:val="51DD25F5"/>
    <w:rsid w:val="5998A804"/>
    <w:rsid w:val="64DFD43E"/>
    <w:rsid w:val="6B852EF1"/>
    <w:rsid w:val="6CA2D2D0"/>
    <w:rsid w:val="76401A3A"/>
    <w:rsid w:val="77B4B36A"/>
    <w:rsid w:val="7D9BE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914E"/>
  <w15:docId w15:val="{7FFA2770-54AC-4F49-9940-E1B881F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535302"/>
  </w:style>
  <w:style w:type="character" w:styleId="Odkaznakoment">
    <w:name w:val="annotation reference"/>
    <w:basedOn w:val="Standardnpsmoodstavce"/>
    <w:uiPriority w:val="99"/>
    <w:semiHidden/>
    <w:unhideWhenUsed/>
    <w:rsid w:val="00535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52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25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29"/>
  </w:style>
  <w:style w:type="paragraph" w:styleId="Zpat">
    <w:name w:val="footer"/>
    <w:basedOn w:val="Normln"/>
    <w:link w:val="Zpat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29"/>
  </w:style>
  <w:style w:type="table" w:styleId="Mkatabulky">
    <w:name w:val="Table Grid"/>
    <w:basedOn w:val="Normlntabulka"/>
    <w:uiPriority w:val="39"/>
    <w:rsid w:val="0090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s.muni.cz/auth/th/wpfhl/Oplustilova_B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CB45E022F834F8903393A98315ABE" ma:contentTypeVersion="6" ma:contentTypeDescription="Vytvoří nový dokument" ma:contentTypeScope="" ma:versionID="df66ddb7edfd6de2b30e5f44d2e72070">
  <xsd:schema xmlns:xsd="http://www.w3.org/2001/XMLSchema" xmlns:xs="http://www.w3.org/2001/XMLSchema" xmlns:p="http://schemas.microsoft.com/office/2006/metadata/properties" xmlns:ns2="6ec7e739-567e-4523-abdd-494bc8bfb019" xmlns:ns3="f8c07fc3-32a3-4229-8882-bf6a58002ac6" targetNamespace="http://schemas.microsoft.com/office/2006/metadata/properties" ma:root="true" ma:fieldsID="041d8fb98f0a1969c4ac9ef24f3bd039" ns2:_="" ns3:_="">
    <xsd:import namespace="6ec7e739-567e-4523-abdd-494bc8bfb019"/>
    <xsd:import namespace="f8c07fc3-32a3-4229-8882-bf6a580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e739-567e-4523-abdd-494bc8bfb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7fc3-32a3-4229-8882-bf6a580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F04DF-E173-49F7-A93A-357E99EC3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4532E-6C1F-4AFB-8EA1-EE5E49119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66361-5F2C-4BC1-86B9-E098DD26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e739-567e-4523-abdd-494bc8bfb019"/>
    <ds:schemaRef ds:uri="f8c07fc3-32a3-4229-8882-bf6a580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Proksová</dc:creator>
  <cp:lastModifiedBy>Janská Ivana</cp:lastModifiedBy>
  <cp:revision>10</cp:revision>
  <cp:lastPrinted>2020-12-15T06:24:00Z</cp:lastPrinted>
  <dcterms:created xsi:type="dcterms:W3CDTF">2020-12-21T06:00:00Z</dcterms:created>
  <dcterms:modified xsi:type="dcterms:W3CDTF">2021-01-18T16:33:00Z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0x010100C1CCB45E022F834F8903393A98315ABE</vt:lpwstr>
  </property>
  <property fmtid="{D5CDD505-2E9C-101B-9397-08002B2CF9AE}" pid="3" name="AuthorIds_UIVersion_1536">
    <vt:lpwstr>23</vt:lpwstr>
  </property>
</Properties>
</file>